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5819" w14:textId="137CECDC" w:rsidR="002A4872" w:rsidRDefault="002A4872" w:rsidP="002A4872">
      <w:pPr>
        <w:pStyle w:val="Zahlavi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Fakulta architektury </w:t>
      </w:r>
    </w:p>
    <w:p w14:paraId="317092A5" w14:textId="77777777" w:rsidR="002A4872" w:rsidRDefault="002A4872" w:rsidP="002A4872">
      <w:pPr>
        <w:pStyle w:val="Zahlavi"/>
        <w:jc w:val="both"/>
        <w:rPr>
          <w:color w:val="000000" w:themeColor="text1"/>
          <w:sz w:val="19"/>
          <w:szCs w:val="19"/>
          <w:lang w:val="cs-CZ"/>
        </w:rPr>
      </w:pPr>
      <w:r>
        <w:rPr>
          <w:color w:val="000000" w:themeColor="text1"/>
          <w:sz w:val="19"/>
          <w:szCs w:val="19"/>
        </w:rPr>
        <w:t xml:space="preserve">Thákurova 9, 166 34 Praha 6 </w:t>
      </w:r>
    </w:p>
    <w:p w14:paraId="46B69C6E" w14:textId="3A6144E7" w:rsidR="002A4872" w:rsidRDefault="002A4872" w:rsidP="002A4872">
      <w:pPr>
        <w:pStyle w:val="Zahlavi"/>
        <w:tabs>
          <w:tab w:val="left" w:pos="6680"/>
        </w:tabs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62368E">
        <w:rPr>
          <w:color w:val="000000" w:themeColor="text1"/>
          <w:sz w:val="19"/>
          <w:szCs w:val="19"/>
          <w:lang w:val="cs-CZ"/>
        </w:rPr>
        <w:t xml:space="preserve">V Praze </w:t>
      </w:r>
      <w:r w:rsidR="00BB6C3E">
        <w:rPr>
          <w:color w:val="000000" w:themeColor="text1"/>
          <w:sz w:val="19"/>
          <w:szCs w:val="19"/>
          <w:lang w:val="cs-CZ"/>
        </w:rPr>
        <w:t>3</w:t>
      </w:r>
      <w:r w:rsidRPr="0062368E">
        <w:rPr>
          <w:color w:val="000000" w:themeColor="text1"/>
          <w:sz w:val="19"/>
          <w:szCs w:val="19"/>
          <w:lang w:val="cs-CZ"/>
        </w:rPr>
        <w:t xml:space="preserve">. </w:t>
      </w:r>
      <w:r w:rsidR="00C94C25">
        <w:rPr>
          <w:color w:val="000000" w:themeColor="text1"/>
          <w:sz w:val="19"/>
          <w:szCs w:val="19"/>
          <w:lang w:val="cs-CZ"/>
        </w:rPr>
        <w:t>6</w:t>
      </w:r>
      <w:r w:rsidRPr="0062368E">
        <w:rPr>
          <w:color w:val="000000" w:themeColor="text1"/>
          <w:sz w:val="19"/>
          <w:szCs w:val="19"/>
          <w:lang w:val="cs-CZ"/>
        </w:rPr>
        <w:t>. 202</w:t>
      </w:r>
      <w:r w:rsidR="00AE178C">
        <w:rPr>
          <w:color w:val="000000" w:themeColor="text1"/>
          <w:sz w:val="19"/>
          <w:szCs w:val="19"/>
          <w:lang w:val="cs-CZ"/>
        </w:rPr>
        <w:t>5</w:t>
      </w:r>
    </w:p>
    <w:p w14:paraId="7E14634F" w14:textId="68590A63" w:rsidR="007F2D94" w:rsidRPr="00743B76" w:rsidRDefault="007F2D94" w:rsidP="002A4872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6F32D850" w14:textId="6D2F7131" w:rsidR="007F2D94" w:rsidRPr="004020BE" w:rsidRDefault="007F2D94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743B76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KONTAKT PRO MÉDIA | </w:t>
      </w:r>
      <w:r w:rsidR="00C94C25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Michal Kohout</w:t>
      </w:r>
    </w:p>
    <w:p w14:paraId="69B1BE8B" w14:textId="765AC8DC" w:rsidR="00CA329F" w:rsidRDefault="00C94C25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hyperlink r:id="rId11" w:history="1">
        <w:r w:rsidRPr="00A23890">
          <w:rPr>
            <w:rStyle w:val="Hypertextovodkaz"/>
            <w:rFonts w:cs="Arial"/>
            <w:b/>
            <w:bCs/>
            <w:caps/>
            <w:spacing w:val="8"/>
            <w:kern w:val="20"/>
            <w:szCs w:val="20"/>
            <w:lang w:bidi="ar-SA"/>
            <w14:numForm w14:val="lining"/>
            <w14:numSpacing w14:val="proportional"/>
          </w:rPr>
          <w:t>Michal.kohout@FA.CVUT.CZ</w:t>
        </w:r>
      </w:hyperlink>
      <w:r w:rsidR="007F2D94" w:rsidRPr="004020B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, 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602</w:t>
      </w:r>
      <w:r>
        <w:rPr>
          <w:rFonts w:ascii="Cambria" w:hAnsi="Cambria" w:cs="Cambria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 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377</w:t>
      </w:r>
      <w:r>
        <w:rPr>
          <w:rFonts w:ascii="Cambria" w:hAnsi="Cambria" w:cs="Cambria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 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734</w:t>
      </w:r>
    </w:p>
    <w:p w14:paraId="290397D9" w14:textId="13D89723" w:rsidR="00C94C25" w:rsidRDefault="00C94C25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400322FE" w14:textId="0E9490F5" w:rsidR="00C94C25" w:rsidRPr="004020BE" w:rsidRDefault="00C94C25" w:rsidP="00C94C25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743B76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KONTAKT PRO 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zájemce</w:t>
      </w:r>
      <w:r w:rsidRPr="00743B76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 | 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Hana Benešová</w:t>
      </w:r>
    </w:p>
    <w:p w14:paraId="772ACCE3" w14:textId="391BE7AA" w:rsidR="00C94C25" w:rsidRPr="00743B76" w:rsidRDefault="00C94C25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hyperlink r:id="rId12" w:history="1">
        <w:r w:rsidRPr="00A23890">
          <w:rPr>
            <w:rStyle w:val="Hypertextovodkaz"/>
            <w:rFonts w:cs="Arial"/>
            <w:b/>
            <w:bCs/>
            <w:caps/>
            <w:spacing w:val="8"/>
            <w:kern w:val="20"/>
            <w:szCs w:val="20"/>
            <w:lang w:bidi="ar-SA"/>
            <w14:numForm w14:val="lining"/>
            <w14:numSpacing w14:val="proportional"/>
          </w:rPr>
          <w:t>hana.benesova@FA.CVUT.CZ</w:t>
        </w:r>
      </w:hyperlink>
      <w:r w:rsidRPr="004020B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, 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774</w:t>
      </w:r>
      <w:r>
        <w:rPr>
          <w:rFonts w:ascii="Cambria" w:hAnsi="Cambria" w:cs="Cambria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 </w:t>
      </w:r>
      <w:r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224 394</w:t>
      </w:r>
    </w:p>
    <w:p w14:paraId="636BF8F2" w14:textId="77777777" w:rsidR="007F2D94" w:rsidRPr="00743B76" w:rsidRDefault="007F2D94" w:rsidP="007F2D94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4D879DE4" w14:textId="77777777" w:rsidR="00373E52" w:rsidRPr="00743B76" w:rsidRDefault="00373E52" w:rsidP="00442554">
      <w:pPr>
        <w:spacing w:line="240" w:lineRule="auto"/>
        <w:jc w:val="both"/>
        <w:rPr>
          <w:rFonts w:cs="Arial"/>
          <w:color w:val="000000"/>
          <w:sz w:val="18"/>
        </w:rPr>
      </w:pPr>
    </w:p>
    <w:p w14:paraId="76FBD6B1" w14:textId="3CFDF9EE" w:rsidR="00743B76" w:rsidRPr="005A4022" w:rsidRDefault="00C94C25" w:rsidP="005A4022">
      <w:pPr>
        <w:rPr>
          <w:b/>
          <w:sz w:val="28"/>
          <w:szCs w:val="28"/>
        </w:rPr>
      </w:pPr>
      <w:r w:rsidRPr="00C94C25">
        <w:rPr>
          <w:b/>
          <w:sz w:val="28"/>
          <w:szCs w:val="28"/>
        </w:rPr>
        <w:t>Development nemovitostí na ČVUT: Myšlenka vyváženějšího rozvoje vystavěného prostředí opět spojí byznys, akademii a města</w:t>
      </w:r>
    </w:p>
    <w:p w14:paraId="36684627" w14:textId="77777777" w:rsidR="00743B76" w:rsidRPr="00743B76" w:rsidRDefault="00743B76" w:rsidP="00743B76">
      <w:pPr>
        <w:widowControl/>
        <w:spacing w:line="240" w:lineRule="auto"/>
        <w:rPr>
          <w:rFonts w:eastAsia="Times New Roman" w:cs="Times New Roman"/>
          <w:sz w:val="24"/>
          <w:lang w:eastAsia="cs-CZ" w:bidi="ar-SA"/>
        </w:rPr>
      </w:pPr>
    </w:p>
    <w:p w14:paraId="595817C3" w14:textId="08950E2C" w:rsidR="00743B76" w:rsidRPr="003329FC" w:rsidRDefault="00C94C25" w:rsidP="001C283C">
      <w:pPr>
        <w:rPr>
          <w:b/>
          <w:color w:val="FF0000"/>
          <w:sz w:val="24"/>
        </w:rPr>
      </w:pPr>
      <w:r w:rsidRPr="00C94C25">
        <w:rPr>
          <w:b/>
          <w:sz w:val="24"/>
        </w:rPr>
        <w:t>Jak navrhnout výstavbu efektivně s ohledem na investiční náklady i provoz? Jak uspokojit zájmy všech zainteresovaných stran rozvoje nemovitostí? Tyto a další otázky si bud</w:t>
      </w:r>
      <w:r>
        <w:rPr>
          <w:b/>
          <w:sz w:val="24"/>
        </w:rPr>
        <w:t>ou</w:t>
      </w:r>
      <w:r w:rsidRPr="00C94C25">
        <w:rPr>
          <w:b/>
          <w:sz w:val="24"/>
        </w:rPr>
        <w:t xml:space="preserve"> klást účastní</w:t>
      </w:r>
      <w:r>
        <w:rPr>
          <w:b/>
          <w:sz w:val="24"/>
        </w:rPr>
        <w:t>ci třetího ročníku kurzů celoživotního vzdělávání Development</w:t>
      </w:r>
      <w:bookmarkStart w:id="0" w:name="_GoBack"/>
      <w:bookmarkEnd w:id="0"/>
      <w:r>
        <w:rPr>
          <w:b/>
          <w:sz w:val="24"/>
        </w:rPr>
        <w:t xml:space="preserve"> nemovitostí, které zajišťuje </w:t>
      </w:r>
      <w:r w:rsidRPr="003A44A5">
        <w:rPr>
          <w:b/>
          <w:sz w:val="24"/>
        </w:rPr>
        <w:t>Fakulta architektury ČVUT ve spolupráci s Masarykovým ústavem vyšších studií</w:t>
      </w:r>
      <w:r w:rsidR="003A44A5" w:rsidRPr="003A44A5">
        <w:rPr>
          <w:b/>
          <w:sz w:val="24"/>
        </w:rPr>
        <w:t>.</w:t>
      </w:r>
      <w:r w:rsidR="003A44A5">
        <w:rPr>
          <w:b/>
          <w:sz w:val="24"/>
        </w:rPr>
        <w:t xml:space="preserve"> </w:t>
      </w:r>
      <w:r w:rsidRPr="00C94C25">
        <w:rPr>
          <w:b/>
          <w:sz w:val="24"/>
        </w:rPr>
        <w:t>Kurz bude</w:t>
      </w:r>
      <w:r>
        <w:rPr>
          <w:b/>
          <w:sz w:val="24"/>
        </w:rPr>
        <w:t xml:space="preserve"> </w:t>
      </w:r>
      <w:r w:rsidRPr="00C94C25">
        <w:rPr>
          <w:b/>
          <w:sz w:val="24"/>
        </w:rPr>
        <w:t>v zimním semestru</w:t>
      </w:r>
      <w:r w:rsidRPr="00C94C25">
        <w:rPr>
          <w:b/>
          <w:sz w:val="24"/>
        </w:rPr>
        <w:t xml:space="preserve"> zaměřen na návrh všech aspektů jedné multifunkční budovy stojící nad budoucí stanicí metra, v letním semestru pak prozkoumá možnosti rozvoje cca dvacetihektarové lokality.</w:t>
      </w:r>
      <w:r w:rsidR="001C283C" w:rsidRPr="003329FC">
        <w:rPr>
          <w:b/>
          <w:color w:val="FF0000"/>
          <w:sz w:val="24"/>
        </w:rPr>
        <w:br/>
      </w:r>
    </w:p>
    <w:p w14:paraId="3F3CDB9B" w14:textId="4B6FA82B" w:rsidR="00C94C25" w:rsidRPr="00C94C25" w:rsidRDefault="00C94C25" w:rsidP="00C94C25">
      <w:pPr>
        <w:rPr>
          <w:sz w:val="24"/>
        </w:rPr>
      </w:pPr>
      <w:r w:rsidRPr="00C94C25">
        <w:rPr>
          <w:sz w:val="24"/>
        </w:rPr>
        <w:t>"</w:t>
      </w:r>
      <w:r w:rsidRPr="00C94C25">
        <w:rPr>
          <w:i/>
          <w:sz w:val="24"/>
        </w:rPr>
        <w:t>Účastníci našich kurzů oceňují možnost pracovat na zadáních vycházejících z reálných potřeb městských částí Prahy a Pražské developerské společnosti, širokou škálu různých pohledů na řešené území a konzultace s experty z akademického prostředí i praxe,</w:t>
      </w:r>
      <w:r w:rsidRPr="00C94C25">
        <w:rPr>
          <w:sz w:val="24"/>
        </w:rPr>
        <w:t xml:space="preserve">" říká Lucia </w:t>
      </w:r>
      <w:proofErr w:type="spellStart"/>
      <w:r w:rsidRPr="00C94C25">
        <w:rPr>
          <w:sz w:val="24"/>
        </w:rPr>
        <w:t>Dobrucká</w:t>
      </w:r>
      <w:proofErr w:type="spellEnd"/>
      <w:r w:rsidRPr="00C94C25">
        <w:rPr>
          <w:sz w:val="24"/>
        </w:rPr>
        <w:t xml:space="preserve">, </w:t>
      </w:r>
      <w:proofErr w:type="spellStart"/>
      <w:r w:rsidRPr="00C94C25">
        <w:rPr>
          <w:sz w:val="24"/>
        </w:rPr>
        <w:t>garantka</w:t>
      </w:r>
      <w:proofErr w:type="spellEnd"/>
      <w:r w:rsidRPr="00C94C25">
        <w:rPr>
          <w:sz w:val="24"/>
        </w:rPr>
        <w:t xml:space="preserve"> kurzů. </w:t>
      </w:r>
    </w:p>
    <w:p w14:paraId="1CC19D61" w14:textId="77777777" w:rsidR="00C94C25" w:rsidRPr="00C94C25" w:rsidRDefault="00C94C25" w:rsidP="00C94C25">
      <w:pPr>
        <w:rPr>
          <w:sz w:val="24"/>
        </w:rPr>
      </w:pPr>
    </w:p>
    <w:p w14:paraId="4ABF646F" w14:textId="77777777" w:rsidR="00C94C25" w:rsidRPr="00C94C25" w:rsidRDefault="00C94C25" w:rsidP="00C94C25">
      <w:pPr>
        <w:rPr>
          <w:sz w:val="24"/>
        </w:rPr>
      </w:pPr>
      <w:r w:rsidRPr="00C94C25">
        <w:rPr>
          <w:sz w:val="24"/>
        </w:rPr>
        <w:t xml:space="preserve">Kurzy reagují na společenskou potřebu prohloubení znalostí z oblasti </w:t>
      </w:r>
      <w:proofErr w:type="spellStart"/>
      <w:r w:rsidRPr="00C94C25">
        <w:rPr>
          <w:sz w:val="24"/>
        </w:rPr>
        <w:t>developmentu</w:t>
      </w:r>
      <w:proofErr w:type="spellEnd"/>
      <w:r w:rsidRPr="00C94C25">
        <w:rPr>
          <w:sz w:val="24"/>
        </w:rPr>
        <w:t xml:space="preserve"> nemovitostí, a to pro soukromé společnosti, státní správu i samosprávu. Svým obsahem přispívají k optimalizaci využití nemovitostních aktiv, což zvyšuje ziskovost investic i efektivitu procesů plánování a výstavby. Svým zaměřením jsou vhodné pro lidi, kteří se podílejí na formování vystavěného prostředí, výstavbě či správě nemovitostních aktiv, a kteří hledají hlubší vzájemné porozumění a lepší vzájemnou spolupráci (např. architekti, koncepční pracovníci, developeři, investoři, pracovníci oddělení investic a správy majetku, vlastníci nemovitostí, a další experti pohybující se v oboru).</w:t>
      </w:r>
    </w:p>
    <w:p w14:paraId="2B7CDA21" w14:textId="77777777" w:rsidR="00C94C25" w:rsidRPr="00C94C25" w:rsidRDefault="00C94C25" w:rsidP="00C94C25">
      <w:pPr>
        <w:rPr>
          <w:sz w:val="24"/>
        </w:rPr>
      </w:pPr>
    </w:p>
    <w:p w14:paraId="4FF5A78A" w14:textId="77777777" w:rsidR="00C94C25" w:rsidRDefault="00C94C25" w:rsidP="00C94C25">
      <w:pPr>
        <w:rPr>
          <w:sz w:val="24"/>
        </w:rPr>
      </w:pPr>
    </w:p>
    <w:p w14:paraId="6FC8FBBA" w14:textId="15935377" w:rsidR="00C94C25" w:rsidRPr="00C94C25" w:rsidRDefault="00C94C25" w:rsidP="00C94C25">
      <w:pPr>
        <w:rPr>
          <w:sz w:val="24"/>
        </w:rPr>
      </w:pPr>
      <w:r w:rsidRPr="00C94C25">
        <w:rPr>
          <w:sz w:val="24"/>
        </w:rPr>
        <w:t>„</w:t>
      </w:r>
      <w:r w:rsidRPr="00C94C25">
        <w:rPr>
          <w:i/>
          <w:sz w:val="24"/>
        </w:rPr>
        <w:t xml:space="preserve">Ve své práci se věnuji přípravě metodických podkladů pro úvěrové a dotační programy, aktuálně zejména v oblasti bytové výstavby a revitalizace </w:t>
      </w:r>
      <w:proofErr w:type="spellStart"/>
      <w:r w:rsidRPr="00C94C25">
        <w:rPr>
          <w:i/>
          <w:sz w:val="24"/>
        </w:rPr>
        <w:t>brownfieldů</w:t>
      </w:r>
      <w:proofErr w:type="spellEnd"/>
      <w:r w:rsidRPr="00C94C25">
        <w:rPr>
          <w:i/>
          <w:sz w:val="24"/>
        </w:rPr>
        <w:t>. V kurzu tak pro mě bylo přínosné přemýšlet nad procesem výstavby z pohledu developera a vidět, co vše je potřeba zajistit např. při výstavbě bytového domu nebo při rozvoji větší lokality. Právě to jsou znalosti, které lze využít při přípravě podmínek našich dotačně-úvěrových programů,</w:t>
      </w:r>
      <w:r w:rsidRPr="00C94C25">
        <w:rPr>
          <w:sz w:val="24"/>
        </w:rPr>
        <w:t>“ říká metodička Natálie ze SFPI, absolventka kurzů.</w:t>
      </w:r>
    </w:p>
    <w:p w14:paraId="0C6E0350" w14:textId="77777777" w:rsidR="00C94C25" w:rsidRPr="00C94C25" w:rsidRDefault="00C94C25" w:rsidP="00C94C25">
      <w:pPr>
        <w:rPr>
          <w:sz w:val="24"/>
        </w:rPr>
      </w:pPr>
    </w:p>
    <w:p w14:paraId="7381C789" w14:textId="77777777" w:rsidR="00C94C25" w:rsidRPr="00C94C25" w:rsidRDefault="00C94C25" w:rsidP="00C94C25">
      <w:pPr>
        <w:rPr>
          <w:sz w:val="24"/>
        </w:rPr>
      </w:pPr>
      <w:r w:rsidRPr="00C94C25">
        <w:rPr>
          <w:sz w:val="24"/>
        </w:rPr>
        <w:t xml:space="preserve">Kurzy jsou součástí nového programu celoživotního vzdělávání na ČVUT v Praze a pořádá je Fakulta architektury ve spolupráci s Masarykovým ústavem vyšších studií. Semestrální kurzy jsou zakončeny mezinárodně uznávaným certifikátem. Odbornými partnery kurzů jsou Pražská developerská společnost, Institut plánování a rozvoje hl. m. Prahy a Asociace developerů. Záštitu převzal doc. Ing. arch. Petr Hlaváček, náměstek primátora hl. města Prahy pro oblast územního a strategického. Ročník 2024/25 slavil velký úspěch, oba kurzy byly plně obsazeny a získaly velmi pozitivní zpětnou vazbu od účastníků, lektorů i spolupracujících subjektů z prostředí Prahy. </w:t>
      </w:r>
    </w:p>
    <w:p w14:paraId="54D0CACE" w14:textId="77777777" w:rsidR="00C94C25" w:rsidRPr="00C94C25" w:rsidRDefault="00C94C25" w:rsidP="00C94C25">
      <w:pPr>
        <w:rPr>
          <w:sz w:val="24"/>
        </w:rPr>
      </w:pPr>
    </w:p>
    <w:p w14:paraId="69011A60" w14:textId="77777777" w:rsidR="00C94C25" w:rsidRPr="00C94C25" w:rsidRDefault="00C94C25" w:rsidP="00C94C25">
      <w:pPr>
        <w:rPr>
          <w:sz w:val="24"/>
        </w:rPr>
      </w:pPr>
      <w:r w:rsidRPr="00C94C25">
        <w:rPr>
          <w:sz w:val="24"/>
        </w:rPr>
        <w:t>“</w:t>
      </w:r>
      <w:r w:rsidRPr="00C94C25">
        <w:rPr>
          <w:i/>
          <w:sz w:val="24"/>
        </w:rPr>
        <w:t>Development formuje město na několik desítek let dopředu, a proto si myslím, že je dobré ho opravdu ovládat a rozumět mu,</w:t>
      </w:r>
      <w:r w:rsidRPr="00C94C25">
        <w:rPr>
          <w:sz w:val="24"/>
        </w:rPr>
        <w:t>” shrnul přínos kurzů absolvent Ondřej. Starosta MČ Praha 12 Vojtěch Kos vyjádřil spokojenost se spoluprací: “</w:t>
      </w:r>
      <w:r w:rsidRPr="00C94C25">
        <w:rPr>
          <w:i/>
          <w:sz w:val="24"/>
        </w:rPr>
        <w:t>Já osobně to vidím velmi pozitivně. Líbila se mi připravenost studentů i jejich prezentace. Každý úhel pohledu na rozvoj dané lokality je prospěšný a otevírá příležitosti do budoucna.</w:t>
      </w:r>
      <w:r w:rsidRPr="00C94C25">
        <w:rPr>
          <w:sz w:val="24"/>
        </w:rPr>
        <w:t>"</w:t>
      </w:r>
    </w:p>
    <w:p w14:paraId="6A5DB109" w14:textId="77777777" w:rsidR="00C94C25" w:rsidRPr="00C94C25" w:rsidRDefault="00C94C25" w:rsidP="00C94C25">
      <w:pPr>
        <w:rPr>
          <w:sz w:val="24"/>
        </w:rPr>
      </w:pPr>
    </w:p>
    <w:p w14:paraId="51BAA951" w14:textId="7659883B" w:rsidR="00AE178C" w:rsidRPr="003329FC" w:rsidRDefault="00C94C25" w:rsidP="00C94C25">
      <w:pPr>
        <w:rPr>
          <w:sz w:val="24"/>
        </w:rPr>
      </w:pPr>
      <w:r w:rsidRPr="00C94C25">
        <w:rPr>
          <w:sz w:val="24"/>
        </w:rPr>
        <w:t xml:space="preserve">Přihlášky na nový ročník kurzu Development nemovitostí – budova jsou otevřeny do konce září 2025. Přihlášky na kurz Development nemovitostí – lokalita budou otevřeny na podzim 2025. Podrobnější informace naleznete na </w:t>
      </w:r>
      <w:hyperlink r:id="rId13" w:history="1">
        <w:r w:rsidRPr="00C94C25">
          <w:rPr>
            <w:rStyle w:val="Hypertextovodkaz"/>
            <w:sz w:val="24"/>
          </w:rPr>
          <w:t>developmentnemovitosti.cz</w:t>
        </w:r>
      </w:hyperlink>
    </w:p>
    <w:p w14:paraId="33D0C5AC" w14:textId="77777777" w:rsidR="005A4022" w:rsidRDefault="005A4022" w:rsidP="005A4022">
      <w:pPr>
        <w:widowControl/>
        <w:spacing w:after="160" w:line="240" w:lineRule="auto"/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0F65942B" w14:textId="6AD5D549" w:rsidR="000F5CBA" w:rsidRPr="002A4872" w:rsidRDefault="002A4872" w:rsidP="00743B76">
      <w:pPr>
        <w:widowControl/>
        <w:spacing w:after="160" w:line="240" w:lineRule="auto"/>
        <w:jc w:val="both"/>
        <w:rPr>
          <w:rFonts w:eastAsia="Times New Roman" w:cs="Arial"/>
          <w:color w:val="000000"/>
          <w:sz w:val="18"/>
          <w:szCs w:val="18"/>
          <w:lang w:eastAsia="cs-CZ" w:bidi="ar-SA"/>
        </w:rPr>
      </w:pPr>
      <w:r w:rsidRPr="002A4872">
        <w:rPr>
          <w:rFonts w:eastAsia="Times New Roman" w:cs="Arial"/>
          <w:b/>
          <w:color w:val="000000"/>
          <w:sz w:val="18"/>
          <w:szCs w:val="18"/>
          <w:lang w:eastAsia="cs-CZ" w:bidi="ar-SA"/>
        </w:rPr>
        <w:t>Fakulta architektury ČVUT v Praze</w:t>
      </w:r>
      <w:r w:rsidRPr="002A4872">
        <w:rPr>
          <w:rFonts w:eastAsia="Times New Roman" w:cs="Arial"/>
          <w:color w:val="000000"/>
          <w:sz w:val="18"/>
          <w:szCs w:val="18"/>
          <w:lang w:eastAsia="cs-CZ" w:bidi="ar-SA"/>
        </w:rPr>
        <w:t xml:space="preserve"> (FA ČVUT) je nejstarší a největší institucí u nás poskytující vzdělání v oboru. Nabízí studentům a studentkám propojení teorie a praxe, její pedagogický sbor tvoří špičkoví architekti, urbanisté a designeři. FA ČVUT pracovištěm orientujícím se na výzkumnou, vědeckou a uměleckou tvůrčí činnost. Zdejší studující, absolventi a absolventky se každoročně umisťují na předních příčkách respektovaných studentských architektonických a designérských soutěží. Více informací najdete na </w:t>
      </w:r>
      <w:hyperlink r:id="rId14" w:history="1">
        <w:r w:rsidRPr="002A4872">
          <w:rPr>
            <w:rStyle w:val="Hypertextovodkaz"/>
            <w:rFonts w:eastAsia="Times New Roman" w:cs="Arial"/>
            <w:b/>
            <w:sz w:val="18"/>
            <w:szCs w:val="18"/>
            <w:lang w:eastAsia="cs-CZ" w:bidi="ar-SA"/>
          </w:rPr>
          <w:t>www.fa.cvut.cz</w:t>
        </w:r>
      </w:hyperlink>
      <w:r w:rsidRPr="002A4872">
        <w:rPr>
          <w:rFonts w:eastAsia="Times New Roman" w:cs="Arial"/>
          <w:color w:val="000000"/>
          <w:sz w:val="18"/>
          <w:szCs w:val="18"/>
          <w:lang w:eastAsia="cs-CZ" w:bidi="ar-SA"/>
        </w:rPr>
        <w:t>.</w:t>
      </w:r>
    </w:p>
    <w:p w14:paraId="357D1801" w14:textId="77777777" w:rsidR="00921830" w:rsidRPr="007F6E70" w:rsidRDefault="00921830" w:rsidP="00921830">
      <w:pPr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7F6E70">
        <w:rPr>
          <w:b/>
          <w:bCs/>
          <w:sz w:val="18"/>
          <w:szCs w:val="18"/>
          <w:shd w:val="clear" w:color="auto" w:fill="FFFFFF"/>
        </w:rPr>
        <w:t>České vysoké učení technické v Praze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patří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k nejv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t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a nejstar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m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m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m v Evrop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Podle Metodiky 2017+ je nejlep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eskou technikou ve skupin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hodnocen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ch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kol. V sou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asn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 xml:space="preserve"> dob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m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osm fakult (stavebn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strojn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 xml:space="preserve">, </w:t>
      </w:r>
      <w:r w:rsidRPr="007F6E70">
        <w:rPr>
          <w:sz w:val="18"/>
          <w:szCs w:val="18"/>
          <w:shd w:val="clear" w:color="auto" w:fill="FFFFFF"/>
        </w:rPr>
        <w:lastRenderedPageBreak/>
        <w:t>elektrotechnick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jadern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a fyzik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ln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architektury, dopravn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biomedic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nsk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ho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rstv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informa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ch technologi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). Studuje na 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m p</w:t>
      </w:r>
      <w:r w:rsidRPr="007F6E70">
        <w:rPr>
          <w:rFonts w:cs="Technika"/>
          <w:sz w:val="18"/>
          <w:szCs w:val="18"/>
          <w:shd w:val="clear" w:color="auto" w:fill="FFFFFF"/>
        </w:rPr>
        <w:t>ř</w:t>
      </w:r>
      <w:r w:rsidRPr="007F6E70">
        <w:rPr>
          <w:sz w:val="18"/>
          <w:szCs w:val="18"/>
          <w:shd w:val="clear" w:color="auto" w:fill="FFFFFF"/>
        </w:rPr>
        <w:t>es 19 000 student</w:t>
      </w:r>
      <w:r w:rsidRPr="007F6E70">
        <w:rPr>
          <w:rFonts w:cs="Technika"/>
          <w:sz w:val="18"/>
          <w:szCs w:val="18"/>
          <w:shd w:val="clear" w:color="auto" w:fill="FFFFFF"/>
        </w:rPr>
        <w:t>ů</w:t>
      </w:r>
      <w:r w:rsidRPr="007F6E70">
        <w:rPr>
          <w:sz w:val="18"/>
          <w:szCs w:val="18"/>
          <w:shd w:val="clear" w:color="auto" w:fill="FFFFFF"/>
        </w:rPr>
        <w:t>.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akademickém roce 2024/2025 má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Praze akreditováno celkem 341 studijních programů, z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toho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145 v angli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tin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Krom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fakult tvo</w:t>
      </w:r>
      <w:r w:rsidRPr="007F6E70">
        <w:rPr>
          <w:rFonts w:cs="Technika"/>
          <w:sz w:val="18"/>
          <w:szCs w:val="18"/>
          <w:shd w:val="clear" w:color="auto" w:fill="FFFFFF"/>
        </w:rPr>
        <w:t>ří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Pr="007F6E70">
        <w:rPr>
          <w:sz w:val="18"/>
          <w:szCs w:val="18"/>
          <w:shd w:val="clear" w:color="auto" w:fill="FFFFFF"/>
        </w:rPr>
        <w:t>World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je ČVUT na 420. místě a na 12. pozici v regionálním hodnocení „</w:t>
      </w:r>
      <w:proofErr w:type="spellStart"/>
      <w:r w:rsidRPr="007F6E70">
        <w:rPr>
          <w:sz w:val="18"/>
          <w:szCs w:val="18"/>
          <w:shd w:val="clear" w:color="auto" w:fill="FFFFFF"/>
        </w:rPr>
        <w:t>Emerging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Europe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Central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Asia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“. V rámci hodnocení </w:t>
      </w:r>
      <w:proofErr w:type="spellStart"/>
      <w:r w:rsidRPr="007F6E70">
        <w:rPr>
          <w:sz w:val="18"/>
          <w:szCs w:val="18"/>
          <w:shd w:val="clear" w:color="auto" w:fill="FFFFFF"/>
        </w:rPr>
        <w:t>Subject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2024 pro „</w:t>
      </w:r>
      <w:proofErr w:type="spellStart"/>
      <w:r w:rsidRPr="007F6E70">
        <w:rPr>
          <w:sz w:val="18"/>
          <w:szCs w:val="18"/>
          <w:shd w:val="clear" w:color="auto" w:fill="FFFFFF"/>
        </w:rPr>
        <w:t>Architecture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Build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Environments</w:t>
      </w:r>
      <w:proofErr w:type="spellEnd"/>
      <w:r w:rsidRPr="007F6E70">
        <w:rPr>
          <w:sz w:val="18"/>
          <w:szCs w:val="18"/>
          <w:shd w:val="clear" w:color="auto" w:fill="FFFFFF"/>
        </w:rPr>
        <w:t>“ je ČVUT 151.–200.,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 xml:space="preserve"> Civil and </w:t>
      </w:r>
      <w:proofErr w:type="spellStart"/>
      <w:r w:rsidRPr="007F6E70">
        <w:rPr>
          <w:sz w:val="18"/>
          <w:szCs w:val="18"/>
          <w:shd w:val="clear" w:color="auto" w:fill="FFFFFF"/>
        </w:rPr>
        <w:t>Structural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”</w:t>
      </w:r>
      <w:r w:rsidRPr="007F6E70">
        <w:rPr>
          <w:sz w:val="18"/>
          <w:szCs w:val="18"/>
          <w:shd w:val="clear" w:color="auto" w:fill="FFFFFF"/>
        </w:rPr>
        <w:t xml:space="preserve"> je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mezi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240.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 xml:space="preserve">stem, v oblasti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Mechanical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Aeronautical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Manufacturing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st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, u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Electrical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Electronic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sz w:val="18"/>
          <w:szCs w:val="18"/>
          <w:shd w:val="clear" w:color="auto" w:fill="FFFFFF"/>
        </w:rPr>
        <w:t xml:space="preserve"> 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pozici. V oblasti „</w:t>
      </w:r>
      <w:proofErr w:type="spellStart"/>
      <w:r w:rsidRPr="007F6E70">
        <w:rPr>
          <w:sz w:val="18"/>
          <w:szCs w:val="18"/>
          <w:shd w:val="clear" w:color="auto" w:fill="FFFFFF"/>
        </w:rPr>
        <w:t>Physics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jsou na 307. příčce. V oblasti „</w:t>
      </w:r>
      <w:proofErr w:type="spellStart"/>
      <w:r w:rsidRPr="007F6E70">
        <w:rPr>
          <w:sz w:val="18"/>
          <w:szCs w:val="18"/>
          <w:shd w:val="clear" w:color="auto" w:fill="FFFFFF"/>
        </w:rPr>
        <w:t>Computer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Science and </w:t>
      </w:r>
      <w:proofErr w:type="spellStart"/>
      <w:r w:rsidRPr="007F6E70">
        <w:rPr>
          <w:sz w:val="18"/>
          <w:szCs w:val="18"/>
          <w:shd w:val="clear" w:color="auto" w:fill="FFFFFF"/>
        </w:rPr>
        <w:t>Information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Material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na 251.–300.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Mathematics</w:t>
      </w:r>
      <w:proofErr w:type="spellEnd"/>
      <w:r w:rsidRPr="007F6E70">
        <w:rPr>
          <w:sz w:val="18"/>
          <w:szCs w:val="18"/>
          <w:shd w:val="clear" w:color="auto" w:fill="FFFFFF"/>
        </w:rPr>
        <w:t>“ na 301.–350. místě a v oblasti 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jsou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Munich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Denmark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Eindhoven, </w:t>
      </w:r>
      <w:proofErr w:type="spellStart"/>
      <w:r w:rsidRPr="007F6E70">
        <w:rPr>
          <w:sz w:val="18"/>
          <w:szCs w:val="18"/>
          <w:shd w:val="clear" w:color="auto" w:fill="FFFFFF"/>
        </w:rPr>
        <w:t>École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– L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Pr="007F6E70">
        <w:rPr>
          <w:sz w:val="18"/>
          <w:szCs w:val="18"/>
          <w:shd w:val="clear" w:color="auto" w:fill="FFFFFF"/>
        </w:rPr>
        <w:t xml:space="preserve">X, Tallinn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Technology,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f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d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rale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de Lausanne a </w:t>
      </w:r>
      <w:proofErr w:type="spellStart"/>
      <w:r w:rsidRPr="007F6E70">
        <w:rPr>
          <w:sz w:val="18"/>
          <w:szCs w:val="18"/>
          <w:shd w:val="clear" w:color="auto" w:fill="FFFFFF"/>
        </w:rPr>
        <w:t>Technion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Israel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Institute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Technology. Roku 2023 byla aliance roz</w:t>
      </w:r>
      <w:r w:rsidRPr="007F6E70">
        <w:rPr>
          <w:rFonts w:cs="Technika"/>
          <w:sz w:val="18"/>
          <w:szCs w:val="18"/>
          <w:shd w:val="clear" w:color="auto" w:fill="FFFFFF"/>
        </w:rPr>
        <w:t>šíř</w:t>
      </w:r>
      <w:r w:rsidRPr="007F6E70">
        <w:rPr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Pr="007F6E70">
        <w:rPr>
          <w:sz w:val="18"/>
          <w:szCs w:val="18"/>
          <w:shd w:val="clear" w:color="auto" w:fill="FFFFFF"/>
        </w:rPr>
        <w:t>School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(University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Navarra). 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ce na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5" w:history="1">
        <w:r w:rsidRPr="007F6E70">
          <w:rPr>
            <w:rStyle w:val="Hypertextovodkaz"/>
            <w:b/>
            <w:bCs/>
            <w:sz w:val="18"/>
            <w:szCs w:val="18"/>
            <w:shd w:val="clear" w:color="auto" w:fill="FFFFFF"/>
          </w:rPr>
          <w:t>www.cvut.cz</w:t>
        </w:r>
      </w:hyperlink>
      <w:r w:rsidRPr="007F6E70">
        <w:rPr>
          <w:sz w:val="18"/>
          <w:szCs w:val="18"/>
          <w:shd w:val="clear" w:color="auto" w:fill="FFFFFF"/>
        </w:rPr>
        <w:t>.</w:t>
      </w:r>
    </w:p>
    <w:p w14:paraId="23F6D07E" w14:textId="77777777" w:rsidR="005804CC" w:rsidRPr="00743B76" w:rsidRDefault="005804CC" w:rsidP="00921830">
      <w:pPr>
        <w:spacing w:line="240" w:lineRule="auto"/>
        <w:jc w:val="both"/>
        <w:rPr>
          <w:rFonts w:eastAsiaTheme="minorHAnsi" w:cs="Arial"/>
          <w:sz w:val="22"/>
          <w:szCs w:val="22"/>
        </w:rPr>
      </w:pPr>
    </w:p>
    <w:sectPr w:rsidR="005804CC" w:rsidRPr="00743B76" w:rsidSect="000F5CBA">
      <w:headerReference w:type="default" r:id="rId16"/>
      <w:headerReference w:type="first" r:id="rId17"/>
      <w:footerReference w:type="first" r:id="rId18"/>
      <w:pgSz w:w="11906" w:h="16838"/>
      <w:pgMar w:top="3407" w:right="851" w:bottom="567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E709" w14:textId="77777777" w:rsidR="00C33036" w:rsidRDefault="00C33036" w:rsidP="003829EA">
      <w:pPr>
        <w:spacing w:line="240" w:lineRule="auto"/>
      </w:pPr>
      <w:r>
        <w:separator/>
      </w:r>
    </w:p>
  </w:endnote>
  <w:endnote w:type="continuationSeparator" w:id="0">
    <w:p w14:paraId="39B6610D" w14:textId="77777777" w:rsidR="00C33036" w:rsidRDefault="00C33036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07267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8214" w14:textId="77777777" w:rsidR="00C33036" w:rsidRDefault="00C33036" w:rsidP="003829EA">
      <w:pPr>
        <w:spacing w:line="240" w:lineRule="auto"/>
      </w:pPr>
      <w:r>
        <w:separator/>
      </w:r>
    </w:p>
  </w:footnote>
  <w:footnote w:type="continuationSeparator" w:id="0">
    <w:p w14:paraId="342DA360" w14:textId="77777777" w:rsidR="00C33036" w:rsidRDefault="00C33036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  <a:ext uri="{C572A759-6A51-4108-AA02-DFA0A04FC94B}">
                          <ma14:wrappingTextBoxFlag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FCBBB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A76FM/5wIAAAoGAAAOAAAA&#10;AAAAAAAAAAAAAC4CAABkcnMvZTJvRG9jLnhtbFBLAQItABQABgAIAAAAIQCjEhnf3wAAAAsBAAAP&#10;AAAAAAAAAAAAAAAAAEEFAABkcnMvZG93bnJldi54bWxQSwUGAAAAAAQABADzAAAATQY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1621"/>
    <w:rsid w:val="00001D2A"/>
    <w:rsid w:val="00010DFB"/>
    <w:rsid w:val="00011890"/>
    <w:rsid w:val="00012BEA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DC5"/>
    <w:rsid w:val="00080867"/>
    <w:rsid w:val="00080A5C"/>
    <w:rsid w:val="00085CCE"/>
    <w:rsid w:val="00090A1E"/>
    <w:rsid w:val="0009492D"/>
    <w:rsid w:val="0009550A"/>
    <w:rsid w:val="00096865"/>
    <w:rsid w:val="000A4D7F"/>
    <w:rsid w:val="000A53BA"/>
    <w:rsid w:val="000A6197"/>
    <w:rsid w:val="000A6F62"/>
    <w:rsid w:val="000B08F8"/>
    <w:rsid w:val="000C7203"/>
    <w:rsid w:val="000D5D47"/>
    <w:rsid w:val="000D7C1C"/>
    <w:rsid w:val="000F022C"/>
    <w:rsid w:val="000F3D93"/>
    <w:rsid w:val="000F436A"/>
    <w:rsid w:val="000F5CBA"/>
    <w:rsid w:val="000F72F3"/>
    <w:rsid w:val="001017F7"/>
    <w:rsid w:val="001079D8"/>
    <w:rsid w:val="001143EB"/>
    <w:rsid w:val="00114B39"/>
    <w:rsid w:val="001173CA"/>
    <w:rsid w:val="00125B6F"/>
    <w:rsid w:val="00125CDB"/>
    <w:rsid w:val="00127864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647A5"/>
    <w:rsid w:val="001766B4"/>
    <w:rsid w:val="00180787"/>
    <w:rsid w:val="0018138B"/>
    <w:rsid w:val="001816B5"/>
    <w:rsid w:val="00181B29"/>
    <w:rsid w:val="00186B27"/>
    <w:rsid w:val="00186EEB"/>
    <w:rsid w:val="001871BC"/>
    <w:rsid w:val="001B57EE"/>
    <w:rsid w:val="001C2626"/>
    <w:rsid w:val="001C283C"/>
    <w:rsid w:val="001C3697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5C37"/>
    <w:rsid w:val="00207A67"/>
    <w:rsid w:val="002109C7"/>
    <w:rsid w:val="002176AC"/>
    <w:rsid w:val="00223732"/>
    <w:rsid w:val="00232BA7"/>
    <w:rsid w:val="00237423"/>
    <w:rsid w:val="00241FB9"/>
    <w:rsid w:val="0024679F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91D39"/>
    <w:rsid w:val="00296D15"/>
    <w:rsid w:val="00297CB8"/>
    <w:rsid w:val="002A4872"/>
    <w:rsid w:val="002A4B9F"/>
    <w:rsid w:val="002B5794"/>
    <w:rsid w:val="002C54BB"/>
    <w:rsid w:val="002D3122"/>
    <w:rsid w:val="002D4522"/>
    <w:rsid w:val="002F018C"/>
    <w:rsid w:val="002F1667"/>
    <w:rsid w:val="002F541A"/>
    <w:rsid w:val="002F67D5"/>
    <w:rsid w:val="003010E1"/>
    <w:rsid w:val="00303659"/>
    <w:rsid w:val="00306900"/>
    <w:rsid w:val="00306AEF"/>
    <w:rsid w:val="003103FC"/>
    <w:rsid w:val="00320825"/>
    <w:rsid w:val="00323A44"/>
    <w:rsid w:val="00324D59"/>
    <w:rsid w:val="0032792E"/>
    <w:rsid w:val="003279A4"/>
    <w:rsid w:val="003329FC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1198"/>
    <w:rsid w:val="003717F1"/>
    <w:rsid w:val="0037238E"/>
    <w:rsid w:val="00373E52"/>
    <w:rsid w:val="00380656"/>
    <w:rsid w:val="00382773"/>
    <w:rsid w:val="003829EA"/>
    <w:rsid w:val="00385BC0"/>
    <w:rsid w:val="00386C6F"/>
    <w:rsid w:val="00387CAD"/>
    <w:rsid w:val="00390FE3"/>
    <w:rsid w:val="003917B2"/>
    <w:rsid w:val="003A44A5"/>
    <w:rsid w:val="003A768B"/>
    <w:rsid w:val="003B45CC"/>
    <w:rsid w:val="003C1D10"/>
    <w:rsid w:val="003C3820"/>
    <w:rsid w:val="003D4289"/>
    <w:rsid w:val="003E4EC9"/>
    <w:rsid w:val="003F16B7"/>
    <w:rsid w:val="00400F34"/>
    <w:rsid w:val="004020BE"/>
    <w:rsid w:val="00406215"/>
    <w:rsid w:val="00407E52"/>
    <w:rsid w:val="00420F6D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5242F"/>
    <w:rsid w:val="004529D4"/>
    <w:rsid w:val="004540F0"/>
    <w:rsid w:val="00456C94"/>
    <w:rsid w:val="00464D19"/>
    <w:rsid w:val="0047137B"/>
    <w:rsid w:val="00472932"/>
    <w:rsid w:val="00475F45"/>
    <w:rsid w:val="004764D3"/>
    <w:rsid w:val="004800DB"/>
    <w:rsid w:val="004817D1"/>
    <w:rsid w:val="00487551"/>
    <w:rsid w:val="00487AF1"/>
    <w:rsid w:val="00496C3A"/>
    <w:rsid w:val="004A4750"/>
    <w:rsid w:val="004B61BC"/>
    <w:rsid w:val="004B6394"/>
    <w:rsid w:val="004C0188"/>
    <w:rsid w:val="004C32DD"/>
    <w:rsid w:val="004C34B5"/>
    <w:rsid w:val="004C5405"/>
    <w:rsid w:val="004C5D7B"/>
    <w:rsid w:val="004E1E20"/>
    <w:rsid w:val="004E4774"/>
    <w:rsid w:val="004F3F6C"/>
    <w:rsid w:val="004F7204"/>
    <w:rsid w:val="00506CFF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59D3"/>
    <w:rsid w:val="0056284F"/>
    <w:rsid w:val="00566042"/>
    <w:rsid w:val="00574099"/>
    <w:rsid w:val="00577A1E"/>
    <w:rsid w:val="005804CC"/>
    <w:rsid w:val="00584D80"/>
    <w:rsid w:val="00585555"/>
    <w:rsid w:val="00591334"/>
    <w:rsid w:val="005920A0"/>
    <w:rsid w:val="005A2EC0"/>
    <w:rsid w:val="005A4022"/>
    <w:rsid w:val="005B6843"/>
    <w:rsid w:val="005B780D"/>
    <w:rsid w:val="005B7E27"/>
    <w:rsid w:val="005C148E"/>
    <w:rsid w:val="005D2179"/>
    <w:rsid w:val="005D6019"/>
    <w:rsid w:val="005D7AB0"/>
    <w:rsid w:val="005E574D"/>
    <w:rsid w:val="005E759D"/>
    <w:rsid w:val="005F0180"/>
    <w:rsid w:val="005F0396"/>
    <w:rsid w:val="005F1B84"/>
    <w:rsid w:val="005F606B"/>
    <w:rsid w:val="005F7712"/>
    <w:rsid w:val="00601B9C"/>
    <w:rsid w:val="00612C80"/>
    <w:rsid w:val="00613C12"/>
    <w:rsid w:val="00655AC1"/>
    <w:rsid w:val="00661F62"/>
    <w:rsid w:val="006648EF"/>
    <w:rsid w:val="00667892"/>
    <w:rsid w:val="00674493"/>
    <w:rsid w:val="00680A57"/>
    <w:rsid w:val="006847F6"/>
    <w:rsid w:val="006865E5"/>
    <w:rsid w:val="006943BA"/>
    <w:rsid w:val="00694575"/>
    <w:rsid w:val="00695326"/>
    <w:rsid w:val="00696317"/>
    <w:rsid w:val="006A1AAA"/>
    <w:rsid w:val="006A448F"/>
    <w:rsid w:val="006B599E"/>
    <w:rsid w:val="006B6CDA"/>
    <w:rsid w:val="006B7AC7"/>
    <w:rsid w:val="006C4C62"/>
    <w:rsid w:val="006E1F9C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248D6"/>
    <w:rsid w:val="0072572D"/>
    <w:rsid w:val="007334A1"/>
    <w:rsid w:val="007344DD"/>
    <w:rsid w:val="007431D0"/>
    <w:rsid w:val="00743B76"/>
    <w:rsid w:val="00743CC8"/>
    <w:rsid w:val="00746B8B"/>
    <w:rsid w:val="00747EBE"/>
    <w:rsid w:val="00751B28"/>
    <w:rsid w:val="00752C3F"/>
    <w:rsid w:val="00753A27"/>
    <w:rsid w:val="00761F35"/>
    <w:rsid w:val="0076398B"/>
    <w:rsid w:val="0076597A"/>
    <w:rsid w:val="00766A6F"/>
    <w:rsid w:val="00775641"/>
    <w:rsid w:val="007761B7"/>
    <w:rsid w:val="007832D0"/>
    <w:rsid w:val="00784A8F"/>
    <w:rsid w:val="00784B27"/>
    <w:rsid w:val="00786DC1"/>
    <w:rsid w:val="00790AFA"/>
    <w:rsid w:val="00795613"/>
    <w:rsid w:val="007964F5"/>
    <w:rsid w:val="007A754F"/>
    <w:rsid w:val="007B0414"/>
    <w:rsid w:val="007B06F9"/>
    <w:rsid w:val="007B2E6E"/>
    <w:rsid w:val="007B4876"/>
    <w:rsid w:val="007B5531"/>
    <w:rsid w:val="007B5807"/>
    <w:rsid w:val="007B68EC"/>
    <w:rsid w:val="007D098B"/>
    <w:rsid w:val="007D1904"/>
    <w:rsid w:val="007D4E04"/>
    <w:rsid w:val="007D4EE9"/>
    <w:rsid w:val="007D57DB"/>
    <w:rsid w:val="007D5B59"/>
    <w:rsid w:val="007D6E7C"/>
    <w:rsid w:val="007E5ED5"/>
    <w:rsid w:val="007E656A"/>
    <w:rsid w:val="007E7517"/>
    <w:rsid w:val="007F2D94"/>
    <w:rsid w:val="007F4A31"/>
    <w:rsid w:val="00801CB3"/>
    <w:rsid w:val="00805B77"/>
    <w:rsid w:val="008065C4"/>
    <w:rsid w:val="00807F1E"/>
    <w:rsid w:val="00810C06"/>
    <w:rsid w:val="00812E9B"/>
    <w:rsid w:val="00814DAA"/>
    <w:rsid w:val="0081669E"/>
    <w:rsid w:val="00817AB9"/>
    <w:rsid w:val="00826379"/>
    <w:rsid w:val="00832387"/>
    <w:rsid w:val="00833F21"/>
    <w:rsid w:val="00850ECD"/>
    <w:rsid w:val="0085311E"/>
    <w:rsid w:val="00864945"/>
    <w:rsid w:val="0088161C"/>
    <w:rsid w:val="008828B5"/>
    <w:rsid w:val="00885EC2"/>
    <w:rsid w:val="0089204C"/>
    <w:rsid w:val="0089260C"/>
    <w:rsid w:val="00892B51"/>
    <w:rsid w:val="008938F4"/>
    <w:rsid w:val="008940E0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901775"/>
    <w:rsid w:val="00906F3B"/>
    <w:rsid w:val="009116DB"/>
    <w:rsid w:val="00912154"/>
    <w:rsid w:val="00914E5D"/>
    <w:rsid w:val="00921830"/>
    <w:rsid w:val="009234B1"/>
    <w:rsid w:val="00925272"/>
    <w:rsid w:val="00941856"/>
    <w:rsid w:val="0094353B"/>
    <w:rsid w:val="009502FE"/>
    <w:rsid w:val="009566D3"/>
    <w:rsid w:val="009625CD"/>
    <w:rsid w:val="00962DA5"/>
    <w:rsid w:val="00964537"/>
    <w:rsid w:val="00964AD0"/>
    <w:rsid w:val="00973CC2"/>
    <w:rsid w:val="00976657"/>
    <w:rsid w:val="009767CE"/>
    <w:rsid w:val="00981C3F"/>
    <w:rsid w:val="00997E73"/>
    <w:rsid w:val="009A04F0"/>
    <w:rsid w:val="009A6793"/>
    <w:rsid w:val="009B3F71"/>
    <w:rsid w:val="009C097C"/>
    <w:rsid w:val="009C3103"/>
    <w:rsid w:val="009C65ED"/>
    <w:rsid w:val="009C760E"/>
    <w:rsid w:val="009D4817"/>
    <w:rsid w:val="009D5A2B"/>
    <w:rsid w:val="009D6551"/>
    <w:rsid w:val="009E5CBD"/>
    <w:rsid w:val="009F3182"/>
    <w:rsid w:val="009F6BE8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B4D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A02F8"/>
    <w:rsid w:val="00AA0ADC"/>
    <w:rsid w:val="00AA1B8B"/>
    <w:rsid w:val="00AA1D8B"/>
    <w:rsid w:val="00AB6EE2"/>
    <w:rsid w:val="00AB7B16"/>
    <w:rsid w:val="00AC379D"/>
    <w:rsid w:val="00AC6D20"/>
    <w:rsid w:val="00AD09D5"/>
    <w:rsid w:val="00AD0B01"/>
    <w:rsid w:val="00AD75EB"/>
    <w:rsid w:val="00AD7EE8"/>
    <w:rsid w:val="00AE0870"/>
    <w:rsid w:val="00AE1266"/>
    <w:rsid w:val="00AE178C"/>
    <w:rsid w:val="00AF12AF"/>
    <w:rsid w:val="00B00C6D"/>
    <w:rsid w:val="00B122CE"/>
    <w:rsid w:val="00B1277E"/>
    <w:rsid w:val="00B1378B"/>
    <w:rsid w:val="00B22D75"/>
    <w:rsid w:val="00B26761"/>
    <w:rsid w:val="00B323CB"/>
    <w:rsid w:val="00B436A4"/>
    <w:rsid w:val="00B4467A"/>
    <w:rsid w:val="00B44F90"/>
    <w:rsid w:val="00B505F7"/>
    <w:rsid w:val="00B54B03"/>
    <w:rsid w:val="00B63D38"/>
    <w:rsid w:val="00B65C8A"/>
    <w:rsid w:val="00B71B05"/>
    <w:rsid w:val="00B77193"/>
    <w:rsid w:val="00B8574B"/>
    <w:rsid w:val="00B90C5E"/>
    <w:rsid w:val="00B953D8"/>
    <w:rsid w:val="00B97121"/>
    <w:rsid w:val="00B97C63"/>
    <w:rsid w:val="00BA0297"/>
    <w:rsid w:val="00BB34A7"/>
    <w:rsid w:val="00BB5331"/>
    <w:rsid w:val="00BB6C3E"/>
    <w:rsid w:val="00BC0E55"/>
    <w:rsid w:val="00BC1D28"/>
    <w:rsid w:val="00BC2C10"/>
    <w:rsid w:val="00BC343B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C01135"/>
    <w:rsid w:val="00C01D0A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80FF1"/>
    <w:rsid w:val="00C926A4"/>
    <w:rsid w:val="00C93904"/>
    <w:rsid w:val="00C94055"/>
    <w:rsid w:val="00C94398"/>
    <w:rsid w:val="00C94C25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D244B"/>
    <w:rsid w:val="00CD5575"/>
    <w:rsid w:val="00CE63C6"/>
    <w:rsid w:val="00CE6DA7"/>
    <w:rsid w:val="00CF3BEF"/>
    <w:rsid w:val="00CF545F"/>
    <w:rsid w:val="00CF5F9F"/>
    <w:rsid w:val="00D0455C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513C8"/>
    <w:rsid w:val="00D5683F"/>
    <w:rsid w:val="00D63040"/>
    <w:rsid w:val="00D75093"/>
    <w:rsid w:val="00D76794"/>
    <w:rsid w:val="00D77D86"/>
    <w:rsid w:val="00D81B9E"/>
    <w:rsid w:val="00D81BB6"/>
    <w:rsid w:val="00D82ABB"/>
    <w:rsid w:val="00D83475"/>
    <w:rsid w:val="00D86754"/>
    <w:rsid w:val="00D86F52"/>
    <w:rsid w:val="00D87CD1"/>
    <w:rsid w:val="00D93269"/>
    <w:rsid w:val="00D97EF4"/>
    <w:rsid w:val="00DA0BB0"/>
    <w:rsid w:val="00DA704A"/>
    <w:rsid w:val="00DB2004"/>
    <w:rsid w:val="00DB5666"/>
    <w:rsid w:val="00DC3A4F"/>
    <w:rsid w:val="00DC662C"/>
    <w:rsid w:val="00DD3C18"/>
    <w:rsid w:val="00DD5B5F"/>
    <w:rsid w:val="00DE02FE"/>
    <w:rsid w:val="00DE51FB"/>
    <w:rsid w:val="00DE6626"/>
    <w:rsid w:val="00DF2AC1"/>
    <w:rsid w:val="00DF47D3"/>
    <w:rsid w:val="00DF52BA"/>
    <w:rsid w:val="00E0357B"/>
    <w:rsid w:val="00E05720"/>
    <w:rsid w:val="00E06E4A"/>
    <w:rsid w:val="00E16874"/>
    <w:rsid w:val="00E2093C"/>
    <w:rsid w:val="00E316B3"/>
    <w:rsid w:val="00E31A05"/>
    <w:rsid w:val="00E40EF2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56A"/>
    <w:rsid w:val="00E83E4F"/>
    <w:rsid w:val="00E86899"/>
    <w:rsid w:val="00E9605C"/>
    <w:rsid w:val="00EA5CDC"/>
    <w:rsid w:val="00EA6F87"/>
    <w:rsid w:val="00EA6FAC"/>
    <w:rsid w:val="00EA73F5"/>
    <w:rsid w:val="00EB0A8D"/>
    <w:rsid w:val="00EB2504"/>
    <w:rsid w:val="00EB4A18"/>
    <w:rsid w:val="00EB66DF"/>
    <w:rsid w:val="00EC11B3"/>
    <w:rsid w:val="00EC7479"/>
    <w:rsid w:val="00ED00A9"/>
    <w:rsid w:val="00ED0C9D"/>
    <w:rsid w:val="00ED1DD1"/>
    <w:rsid w:val="00ED64DC"/>
    <w:rsid w:val="00EE28D8"/>
    <w:rsid w:val="00EE5DA1"/>
    <w:rsid w:val="00F03B5D"/>
    <w:rsid w:val="00F03B9C"/>
    <w:rsid w:val="00F03EBB"/>
    <w:rsid w:val="00F11829"/>
    <w:rsid w:val="00F13553"/>
    <w:rsid w:val="00F154F8"/>
    <w:rsid w:val="00F2336D"/>
    <w:rsid w:val="00F23D38"/>
    <w:rsid w:val="00F307A5"/>
    <w:rsid w:val="00F31300"/>
    <w:rsid w:val="00F36D80"/>
    <w:rsid w:val="00F44BF3"/>
    <w:rsid w:val="00F5569D"/>
    <w:rsid w:val="00F55F2D"/>
    <w:rsid w:val="00F570F2"/>
    <w:rsid w:val="00F70AB1"/>
    <w:rsid w:val="00F71503"/>
    <w:rsid w:val="00F72512"/>
    <w:rsid w:val="00F77C86"/>
    <w:rsid w:val="00F81BDF"/>
    <w:rsid w:val="00F845AC"/>
    <w:rsid w:val="00F84A9A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58BF"/>
    <w:rsid w:val="00FC0E39"/>
    <w:rsid w:val="00FC2511"/>
    <w:rsid w:val="00FC60C7"/>
    <w:rsid w:val="00FD37A3"/>
    <w:rsid w:val="00FE0333"/>
    <w:rsid w:val="00FE1B7F"/>
    <w:rsid w:val="00FE3755"/>
    <w:rsid w:val="00FE68E1"/>
    <w:rsid w:val="06EFE361"/>
    <w:rsid w:val="0908C811"/>
    <w:rsid w:val="097A4D68"/>
    <w:rsid w:val="0F5E5689"/>
    <w:rsid w:val="1D90EB54"/>
    <w:rsid w:val="1E94CEB1"/>
    <w:rsid w:val="235EF88D"/>
    <w:rsid w:val="25CBABAC"/>
    <w:rsid w:val="271ED633"/>
    <w:rsid w:val="2ADB0D58"/>
    <w:rsid w:val="2CFC9A69"/>
    <w:rsid w:val="2FEA33D8"/>
    <w:rsid w:val="30C12F9B"/>
    <w:rsid w:val="3BD8DF69"/>
    <w:rsid w:val="452F5652"/>
    <w:rsid w:val="469242D7"/>
    <w:rsid w:val="4917AF33"/>
    <w:rsid w:val="4B1981E5"/>
    <w:rsid w:val="4E0921B1"/>
    <w:rsid w:val="4E5096C0"/>
    <w:rsid w:val="51716558"/>
    <w:rsid w:val="54F844EA"/>
    <w:rsid w:val="56E766CB"/>
    <w:rsid w:val="58D14C1A"/>
    <w:rsid w:val="5A0CE59F"/>
    <w:rsid w:val="5FB6B2F8"/>
    <w:rsid w:val="638E3006"/>
    <w:rsid w:val="6BA0554A"/>
    <w:rsid w:val="6DC29F6A"/>
    <w:rsid w:val="6EC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velopmentnemovitosti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benesova@FA.CVUT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kohout@fa.cvu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vut.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.cvu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72752-ef6b-49f4-999c-aff0eab08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DA5A678A9E04DA4E3B843F6C683B8" ma:contentTypeVersion="16" ma:contentTypeDescription="Vytvoří nový dokument" ma:contentTypeScope="" ma:versionID="c4eb734f8542673d24d2f6950060f4f5">
  <xsd:schema xmlns:xsd="http://www.w3.org/2001/XMLSchema" xmlns:xs="http://www.w3.org/2001/XMLSchema" xmlns:p="http://schemas.microsoft.com/office/2006/metadata/properties" xmlns:ns3="56f72752-ef6b-49f4-999c-aff0eab08af5" xmlns:ns4="f20334f2-a8a3-4545-874e-af843ee6073c" targetNamespace="http://schemas.microsoft.com/office/2006/metadata/properties" ma:root="true" ma:fieldsID="b6749e3e5571c17ff2164dbec0860215" ns3:_="" ns4:_="">
    <xsd:import namespace="56f72752-ef6b-49f4-999c-aff0eab08af5"/>
    <xsd:import namespace="f20334f2-a8a3-4545-874e-af843ee60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2752-ef6b-49f4-999c-aff0eab08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34f2-a8a3-4545-874e-af843ee60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f20334f2-a8a3-4545-874e-af843ee6073c"/>
    <ds:schemaRef ds:uri="56f72752-ef6b-49f4-999c-aff0eab08a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28C1E-EEA8-42C2-8C73-89BE94350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72752-ef6b-49f4-999c-aff0eab08af5"/>
    <ds:schemaRef ds:uri="f20334f2-a8a3-4545-874e-af843ee60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FB12B-BCBE-4D0D-8D82-4AF33AA4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</Template>
  <TotalTime>1</TotalTime>
  <Pages>3</Pages>
  <Words>939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Smida, Ondrej</cp:lastModifiedBy>
  <cp:revision>3</cp:revision>
  <cp:lastPrinted>2024-04-23T08:57:00Z</cp:lastPrinted>
  <dcterms:created xsi:type="dcterms:W3CDTF">2025-06-03T08:37:00Z</dcterms:created>
  <dcterms:modified xsi:type="dcterms:W3CDTF">2025-06-03T08:37:00Z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0x010100DB2DA5A678A9E04DA4E3B843F6C683B8</vt:lpwstr>
  </property>
  <property fmtid="{D5CDD505-2E9C-101B-9397-08002B2CF9AE}" pid="3" name="GrammarlyDocumentId">
    <vt:lpwstr>006bfd39d6a767883aea931d9dceb297969dcf6e9c422d2a22ef062c2f30a788</vt:lpwstr>
  </property>
</Properties>
</file>